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/>
        <w:drawing>
          <wp:inline distT="0" distB="0" distL="0" distR="0">
            <wp:extent cx="495300" cy="695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АДМИНИСТРАЦИЯ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ОМУТИНСКОГО МУНИЦИПАЛЬНОГО РАЙОНА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ТЮМЕНСКОЙ ОБЛАСТИ</w:t>
      </w:r>
    </w:p>
    <w:p>
      <w:pPr>
        <w:pStyle w:val="Normal"/>
        <w:pBdr>
          <w:top w:val="thinThickSmallGap" w:sz="24" w:space="1" w:color="00000A"/>
        </w:pBdr>
        <w:shd w:val="clear" w:color="auto" w:fill="FFFFFF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</w:r>
    </w:p>
    <w:p>
      <w:pPr>
        <w:pStyle w:val="1"/>
        <w:ind w:left="0" w:right="-908" w:hanging="0"/>
        <w:rPr>
          <w:rFonts w:cs="Arial"/>
          <w:b/>
          <w:b/>
          <w:szCs w:val="24"/>
        </w:rPr>
      </w:pPr>
      <w:r>
        <w:rPr>
          <w:rFonts w:cs="Arial"/>
          <w:b/>
          <w:szCs w:val="24"/>
        </w:rPr>
        <w:t xml:space="preserve">                                                                    </w:t>
      </w:r>
      <w:r>
        <w:rPr>
          <w:rFonts w:cs="Arial"/>
          <w:b/>
          <w:szCs w:val="24"/>
        </w:rPr>
        <w:t>ПРОТОКОЛ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об итогах открытого аукциона  №3П/3А-2017 </w:t>
      </w:r>
      <w:r>
        <w:rPr>
          <w:rFonts w:cs="Arial" w:ascii="Arial" w:hAnsi="Arial"/>
          <w:b/>
        </w:rPr>
        <w:t>на право заключения договоров купли-продажи муниципального имущества</w:t>
      </w:r>
      <w:r>
        <w:rPr>
          <w:rFonts w:cs="Arial" w:ascii="Arial" w:hAnsi="Arial"/>
          <w:b/>
          <w:sz w:val="24"/>
          <w:szCs w:val="24"/>
        </w:rPr>
        <w:t>, лот №3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с. Омутинское                                                                                    04 сентября 2017г. </w:t>
      </w:r>
    </w:p>
    <w:p>
      <w:pPr>
        <w:pStyle w:val="Normal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10 час.00 мин. (время местное)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i/>
          <w:sz w:val="24"/>
          <w:szCs w:val="24"/>
        </w:rPr>
        <w:t xml:space="preserve"> Продавец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sz w:val="24"/>
          <w:szCs w:val="24"/>
        </w:rPr>
        <w:t xml:space="preserve"> Администрация  Омутинского муниципального района,</w:t>
      </w:r>
      <w:r>
        <w:rPr>
          <w:rFonts w:cs="Arial" w:ascii="Arial" w:hAnsi="Arial"/>
          <w:sz w:val="24"/>
          <w:szCs w:val="24"/>
        </w:rPr>
        <w:t xml:space="preserve"> 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2.</w:t>
      </w:r>
      <w:r>
        <w:rPr>
          <w:rFonts w:cs="Arial" w:ascii="Arial" w:hAnsi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cs="Arial" w:ascii="Arial" w:hAnsi="Arial"/>
          <w:i/>
          <w:sz w:val="24"/>
          <w:szCs w:val="24"/>
        </w:rPr>
        <w:t>открытый аукцион на право заключения договоров купли-продажи муниципального имущества.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3. Состав комиссии: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973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6"/>
        <w:gridCol w:w="5982"/>
      </w:tblGrid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первый заместитель главы Омутинского муниципального района</w:t>
            </w:r>
          </w:p>
        </w:tc>
      </w:tr>
      <w:tr>
        <w:trPr>
          <w:trHeight w:val="312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Яковлева М.В.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</w:rPr>
              <w:t>- начальник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Секретарь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71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Никонова О.Н.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специалист 1 категории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Члены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84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ind w:firstLine="851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-ведущий специалист отдела бухгалтерского учета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ind w:firstLine="360"/>
        <w:jc w:val="both"/>
        <w:rPr/>
      </w:pPr>
      <w:r>
        <w:rPr/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4.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Объект продажи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4.1. </w:t>
      </w:r>
      <w:r>
        <w:rPr>
          <w:rFonts w:cs="Arial" w:ascii="Arial" w:hAnsi="Arial"/>
          <w:b/>
          <w:sz w:val="26"/>
          <w:szCs w:val="26"/>
        </w:rPr>
        <w:t>Лот №3:</w:t>
      </w:r>
      <w:r>
        <w:rPr>
          <w:rFonts w:cs="Arial" w:ascii="Arial" w:hAnsi="Arial"/>
          <w:b/>
          <w:color w:val="FF0000"/>
          <w:sz w:val="26"/>
          <w:szCs w:val="26"/>
        </w:rPr>
        <w:t xml:space="preserve"> </w:t>
      </w:r>
      <w:r>
        <w:rPr>
          <w:rFonts w:eastAsia="MS Mincho" w:cs="Arial" w:ascii="Arial" w:hAnsi="Arial"/>
          <w:b/>
          <w:color w:val="00000A"/>
          <w:sz w:val="26"/>
          <w:szCs w:val="26"/>
          <w:lang w:eastAsia="ja-JP"/>
        </w:rPr>
        <w:t xml:space="preserve">Строительные материалы, полученные после разборки водонапорной башни, расположенной по адресу: </w:t>
      </w:r>
      <w:r>
        <w:rPr>
          <w:rFonts w:eastAsia="Calibri" w:cs="Arial" w:ascii="Arial" w:hAnsi="Arial"/>
          <w:b/>
          <w:color w:val="00000A"/>
          <w:sz w:val="26"/>
          <w:szCs w:val="26"/>
          <w:lang w:eastAsia="en-US"/>
        </w:rPr>
        <w:t>с. Омутинское, д/с «Искорка».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Начальная цена объекта</w:t>
      </w:r>
      <w:r>
        <w:rPr>
          <w:rFonts w:cs="Arial" w:ascii="Arial" w:hAnsi="Arial"/>
          <w:sz w:val="26"/>
          <w:szCs w:val="26"/>
        </w:rPr>
        <w:t>: 25 000,00 руб.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Задаток:</w:t>
      </w:r>
      <w:r>
        <w:rPr>
          <w:rFonts w:cs="Arial" w:ascii="Arial" w:hAnsi="Arial"/>
          <w:sz w:val="26"/>
          <w:szCs w:val="26"/>
        </w:rPr>
        <w:t xml:space="preserve"> 5 000,00 руб.</w:t>
      </w:r>
      <w:r>
        <w:rPr>
          <w:rFonts w:cs="Arial" w:ascii="Arial" w:hAnsi="Arial"/>
          <w:b/>
          <w:sz w:val="26"/>
          <w:szCs w:val="26"/>
        </w:rPr>
        <w:t xml:space="preserve"> 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Шаг аукциона </w:t>
      </w:r>
      <w:r>
        <w:rPr>
          <w:rFonts w:cs="Arial" w:ascii="Arial" w:hAnsi="Arial"/>
          <w:b/>
          <w:iCs/>
          <w:sz w:val="26"/>
          <w:szCs w:val="26"/>
        </w:rPr>
        <w:t>(величина повышения начальной цены)</w:t>
      </w:r>
      <w:r>
        <w:rPr>
          <w:rFonts w:cs="Arial" w:ascii="Arial" w:hAnsi="Arial"/>
          <w:b/>
          <w:sz w:val="26"/>
          <w:szCs w:val="26"/>
        </w:rPr>
        <w:t>:</w:t>
      </w:r>
      <w:r>
        <w:rPr>
          <w:rFonts w:cs="Arial" w:ascii="Arial" w:hAnsi="Arial"/>
          <w:sz w:val="26"/>
          <w:szCs w:val="26"/>
        </w:rPr>
        <w:t xml:space="preserve">  1 250,00 руб. </w:t>
      </w:r>
    </w:p>
    <w:p>
      <w:pPr>
        <w:pStyle w:val="Normal"/>
        <w:ind w:firstLine="54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2"/>
        <w:spacing w:lineRule="auto" w:line="240"/>
        <w:ind w:firstLine="360"/>
        <w:rPr/>
      </w:pPr>
      <w:r>
        <w:rPr>
          <w:rFonts w:cs="Arial"/>
          <w:b/>
          <w:sz w:val="26"/>
          <w:szCs w:val="26"/>
        </w:rPr>
        <w:t xml:space="preserve">  </w:t>
      </w:r>
      <w:r>
        <w:rPr>
          <w:rFonts w:cs="Arial"/>
          <w:b/>
          <w:sz w:val="26"/>
          <w:szCs w:val="26"/>
        </w:rPr>
        <w:t>5. Комиссия решила признать  открытый</w:t>
      </w:r>
      <w:r>
        <w:rPr>
          <w:rFonts w:cs="Arial"/>
          <w:b/>
          <w:sz w:val="24"/>
          <w:szCs w:val="24"/>
        </w:rPr>
        <w:t xml:space="preserve"> аукцион на право заключения договора купли-продажи муниципального имущества:</w:t>
      </w:r>
    </w:p>
    <w:p>
      <w:pPr>
        <w:pStyle w:val="BodyText2"/>
        <w:spacing w:lineRule="auto" w:line="240"/>
        <w:jc w:val="both"/>
        <w:rPr/>
      </w:pPr>
      <w:r>
        <w:rPr>
          <w:rFonts w:cs="Arial"/>
          <w:b/>
          <w:sz w:val="24"/>
          <w:szCs w:val="24"/>
        </w:rPr>
        <w:t xml:space="preserve">       </w:t>
      </w:r>
      <w:r>
        <w:rPr>
          <w:rFonts w:cs="Arial"/>
          <w:b/>
          <w:sz w:val="24"/>
          <w:szCs w:val="24"/>
        </w:rPr>
        <w:t>5.1.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По лоту №3: не состоявшимся по причине отсутствия заявок.</w:t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6.</w:t>
      </w:r>
      <w:r>
        <w:rPr>
          <w:rFonts w:cs="Arial" w:ascii="Arial" w:hAnsi="Arial"/>
          <w:sz w:val="24"/>
          <w:szCs w:val="24"/>
        </w:rPr>
        <w:t xml:space="preserve"> Настоящий протокол составлен в 2-х экземплярах, имеющих одинаковую юридическую силу. 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7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7"/>
        <w:gridCol w:w="1899"/>
        <w:gridCol w:w="303"/>
        <w:gridCol w:w="2920"/>
      </w:tblGrid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89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</w:tr>
      <w:tr>
        <w:trPr/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Заместитель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председателя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Яковлева М.В.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Никонова О.Н.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  <w:tr>
        <w:trPr>
          <w:trHeight w:val="219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ab/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</w:tr>
      <w:tr>
        <w:trPr>
          <w:trHeight w:val="112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93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6"/>
      <w:szCs w:val="26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22" w:customStyle="1">
    <w:name w:val="Основной текст 2 Знак"/>
    <w:basedOn w:val="DefaultParagraphFont"/>
    <w:link w:val="21"/>
    <w:semiHidden/>
    <w:qFormat/>
    <w:rsid w:val="0080593b"/>
    <w:rPr>
      <w:rFonts w:ascii="Arial" w:hAnsi="Arial"/>
      <w:sz w:val="27"/>
      <w:lang w:eastAsia="ru-RU"/>
    </w:rPr>
  </w:style>
  <w:style w:type="character" w:styleId="Style5" w:customStyle="1">
    <w:name w:val="Текст выноски Знак"/>
    <w:basedOn w:val="DefaultParagraphFont"/>
    <w:link w:val="a5"/>
    <w:uiPriority w:val="99"/>
    <w:semiHidden/>
    <w:qFormat/>
    <w:rsid w:val="0080593b"/>
    <w:rPr>
      <w:rFonts w:ascii="Tahoma" w:hAnsi="Tahoma" w:cs="Tahoma"/>
      <w:sz w:val="16"/>
      <w:szCs w:val="16"/>
      <w:lang w:eastAsia="ru-RU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paragraph" w:styleId="BodyText2">
    <w:name w:val="Body Text 2"/>
    <w:basedOn w:val="Normal"/>
    <w:link w:val="22"/>
    <w:semiHidden/>
    <w:unhideWhenUsed/>
    <w:qFormat/>
    <w:rsid w:val="0080593b"/>
    <w:pPr>
      <w:spacing w:lineRule="auto" w:line="480" w:before="0" w:after="120"/>
    </w:pPr>
    <w:rPr>
      <w:rFonts w:ascii="Arial" w:hAnsi="Arial"/>
      <w:sz w:val="27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0593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BD70-41E3-4A64-92A8-CC87D8A3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LibreOffice/5.3.2.2$Windows_x86 LibreOffice_project/6cd4f1ef626f15116896b1d8e1398b56da0d0ee1</Application>
  <Pages>2</Pages>
  <Words>242</Words>
  <Characters>1822</Characters>
  <CharactersWithSpaces>2287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2016-02-29T04:49:00Z</dcterms:created>
  <dc:creator>user</dc:creator>
  <dc:description/>
  <dc:language>ru-RU</dc:language>
  <cp:lastModifiedBy/>
  <cp:lastPrinted>2017-09-04T10:38:54Z</cp:lastPrinted>
  <dcterms:modified xsi:type="dcterms:W3CDTF">2017-09-04T10:38:04Z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